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Universidade Federal do Agreste de Pernambuco - UFAPE </w:t>
      </w:r>
    </w:p>
    <w:p>
      <w:pPr>
        <w:spacing w:after="0" w:line="100" w:lineRule="atLeast"/>
        <w:jc w:val="center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>Departamento de Patrimônio e Almoxarifado - DPA/PROAD</w:t>
      </w:r>
    </w:p>
    <w:p>
      <w:pPr>
        <w:spacing w:after="0" w:line="120" w:lineRule="auto"/>
        <w:jc w:val="center"/>
        <w:rPr>
          <w:rFonts w:ascii="Arial" w:hAnsi="Arial" w:cs="Arial"/>
          <w:sz w:val="28"/>
          <w:szCs w:val="28"/>
        </w:rPr>
      </w:pPr>
    </w:p>
    <w:p>
      <w:pPr>
        <w:spacing w:after="0" w:line="100" w:lineRule="atLeast"/>
        <w:jc w:val="center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TERMO DE RESPONSABILIDADE DE 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TRANSFERÊNCIA </w:t>
      </w:r>
    </w:p>
    <w:p>
      <w:pPr>
        <w:spacing w:after="0" w:line="12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118"/>
        <w:gridCol w:w="1682"/>
        <w:gridCol w:w="1821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QUANT.</w:t>
            </w: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DESCRIÇÃO DO PATRIMÔNIO</w:t>
            </w: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Nº PATRIMÔNIO ANTIGO</w:t>
            </w: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Nº PATRIMÔNIO NOVO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1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8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100" w:lineRule="atLeast"/>
              <w:jc w:val="both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</w:tr>
    </w:tbl>
    <w:p>
      <w:pPr>
        <w:spacing w:after="0" w:line="100" w:lineRule="atLeast"/>
        <w:jc w:val="both"/>
        <w:rPr>
          <w:rFonts w:ascii="Arial" w:hAnsi="Arial" w:cs="Arial"/>
          <w:sz w:val="16"/>
          <w:szCs w:val="24"/>
        </w:rPr>
      </w:pPr>
    </w:p>
    <w:tbl>
      <w:tblPr>
        <w:tblStyle w:val="3"/>
        <w:tblW w:w="9889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6"/>
        <w:gridCol w:w="519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8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 DO BEM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8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8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do bem: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1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Prédio: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8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___/___/_____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Assinatura e carimbo </w:t>
            </w:r>
          </w:p>
        </w:tc>
      </w:tr>
    </w:tbl>
    <w:p>
      <w:pPr>
        <w:spacing w:after="0" w:line="100" w:lineRule="atLeast"/>
        <w:jc w:val="both"/>
        <w:rPr>
          <w:rFonts w:ascii="Arial" w:hAnsi="Arial" w:cs="Arial"/>
          <w:sz w:val="18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7"/>
        <w:gridCol w:w="5027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8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DESTINO 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pt-BR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8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tor: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8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Servidor: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8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Matrícula: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0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  <w:bookmarkStart w:id="0" w:name="_GoBack"/>
            <w:bookmarkEnd w:id="0"/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8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do Bem:</w:t>
            </w:r>
          </w:p>
        </w:tc>
        <w:tc>
          <w:tcPr>
            <w:tcW w:w="502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spacing w:after="0" w:line="100" w:lineRule="atLeast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Prédio: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</w:trPr>
        <w:tc>
          <w:tcPr>
            <w:tcW w:w="985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8"/>
              <w:jc w:val="both"/>
              <w:rPr>
                <w:rFonts w:ascii="Arial" w:hAnsi="Arial" w:cs="Arial"/>
                <w:sz w:val="8"/>
                <w:szCs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Instrução Normativa Nº 205 de 08/04/1988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...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DA MOVIMENTAÇÃO E CONTROLE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...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7.13.4. Nenhum equipamento ou material permanente poderá ser movimentado, ainda que, sob a responsabilidade do mesmo consignatário, sem prévia ciência do Departamento de Administração ou da unidade equivalente.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...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DA CONSERVAÇÃO E RECUPERAÇÃO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9. É obrigação de todos a quem tenha sido confiado material para a guarda ou uso, zelar pela sua boa conservação e deligenciar no sentido da recuperação daquele que se avariar.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...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DA RESPONSABILIDADE E INDENIZAÇÃO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10. Todo servidor público poderá ser chamado à responsabilidade pelo desaparecimento do material que lhe for confiado, para guarda ou uso, bem como pelo dano que, dolosa ou culposamente, causar a qualquer material, esteja ou não sob sua guarda.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b/>
                <w:bCs/>
                <w:sz w:val="16"/>
                <w:szCs w:val="21"/>
              </w:rPr>
            </w:pPr>
            <w:r>
              <w:rPr>
                <w:b/>
                <w:bCs/>
                <w:sz w:val="16"/>
                <w:szCs w:val="21"/>
              </w:rPr>
              <w:t>10.1. É dever do servidor comunicar, imediatamente, a quem de direito, qualquer irregularidade ocorrida com o material entregue aos seus cuidados.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...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b/>
                <w:bCs/>
                <w:sz w:val="16"/>
                <w:szCs w:val="21"/>
                <w:lang w:val="pt-BR"/>
              </w:rPr>
            </w:pPr>
            <w:r>
              <w:rPr>
                <w:rFonts w:hint="default"/>
                <w:b/>
                <w:bCs/>
                <w:sz w:val="16"/>
                <w:szCs w:val="21"/>
                <w:lang w:val="pt-BR"/>
              </w:rPr>
              <w:t>De acordo com as normas em vigor, declaro pelo presente documento que ficou sob minha  responsabilidade o material descrito neste Termo de Responsabilidade de Transferência.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/>
                <w:lang w:val="pt-BR"/>
              </w:rPr>
            </w:pPr>
          </w:p>
          <w:p>
            <w:pPr>
              <w:rPr>
                <w:rFonts w:hint="default" w:ascii="Arial" w:hAnsi="Arial" w:cs="Arial"/>
                <w:sz w:val="16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___/___/_____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____________________________________________________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Assinatura e carimbo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 xml:space="preserve">do Consignatário </w:t>
            </w:r>
          </w:p>
        </w:tc>
      </w:tr>
    </w:tbl>
    <w:p/>
    <w:sectPr>
      <w:pgSz w:w="11906" w:h="16838"/>
      <w:pgMar w:top="1134" w:right="1134" w:bottom="1134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4"/>
    <w:rsid w:val="0057794E"/>
    <w:rsid w:val="008213DC"/>
    <w:rsid w:val="008538D1"/>
    <w:rsid w:val="00C51424"/>
    <w:rsid w:val="07CC6FEA"/>
    <w:rsid w:val="08CD6D1E"/>
    <w:rsid w:val="18E7520C"/>
    <w:rsid w:val="383E1707"/>
    <w:rsid w:val="46551288"/>
    <w:rsid w:val="5F9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customStyle="1" w:styleId="5">
    <w:name w:val="Corpo do texto"/>
    <w:basedOn w:val="1"/>
    <w:qFormat/>
    <w:uiPriority w:val="0"/>
    <w:pPr>
      <w:spacing w:after="12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8">
    <w:name w:val="header"/>
    <w:basedOn w:val="1"/>
    <w:qFormat/>
    <w:uiPriority w:val="0"/>
    <w:pPr>
      <w:tabs>
        <w:tab w:val="center" w:pos="4252"/>
        <w:tab w:val="right" w:pos="8504"/>
      </w:tabs>
      <w:spacing w:after="0" w:line="100" w:lineRule="atLeast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Balloon Text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Texto de balão Char"/>
    <w:basedOn w:val="2"/>
    <w:qFormat/>
    <w:uiPriority w:val="0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3">
    <w:name w:val="Índice"/>
    <w:basedOn w:val="1"/>
    <w:qFormat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228</Words>
  <Characters>1237</Characters>
  <Lines>10</Lines>
  <Paragraphs>2</Paragraphs>
  <TotalTime>114</TotalTime>
  <ScaleCrop>false</ScaleCrop>
  <LinksUpToDate>false</LinksUpToDate>
  <CharactersWithSpaces>1463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2020-03-17T11:54:00Z</dcterms:created>
  <dc:creator>usuario</dc:creator>
  <cp:lastModifiedBy>USUARIO</cp:lastModifiedBy>
  <cp:lastPrinted>2022-06-14T18:58:00Z</cp:lastPrinted>
  <dcterms:modified xsi:type="dcterms:W3CDTF">2022-08-01T19:09:33Z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9346C14DAE174A08B74F10FC99703E6F</vt:lpwstr>
  </property>
</Properties>
</file>