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2181600" cy="21816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218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ATA DE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color w:val="07376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ATA:08/02/2024</w:t>
      </w:r>
    </w:p>
    <w:p w:rsidR="00000000" w:rsidDel="00000000" w:rsidP="00000000" w:rsidRDefault="00000000" w:rsidRPr="00000000" w14:paraId="00000004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HORÁRIO: 9h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ind w:left="727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i w:val="1"/>
          <w:color w:val="073762"/>
          <w:sz w:val="20"/>
          <w:szCs w:val="20"/>
          <w:rtl w:val="0"/>
        </w:rPr>
        <w:t xml:space="preserve">Sala da CPA e Google Meet.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ª Reunião Ordinária da Comissão Pr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ópria de Avaliação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 da UFAPE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40"/>
        <w:gridCol w:w="2797"/>
        <w:gridCol w:w="383"/>
        <w:gridCol w:w="1049"/>
        <w:gridCol w:w="1260"/>
        <w:gridCol w:w="409"/>
        <w:tblGridChange w:id="0">
          <w:tblGrid>
            <w:gridCol w:w="4140"/>
            <w:gridCol w:w="2797"/>
            <w:gridCol w:w="383"/>
            <w:gridCol w:w="1049"/>
            <w:gridCol w:w="1260"/>
            <w:gridCol w:w="409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05" w:lineRule="auto"/>
              <w:ind w:left="9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-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Adilma Lopes Brandão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before="110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Secretária - Discente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Isabele Cristine Barros de Moraes Alencar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 José Pimentel de Andrade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before="115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Leila Britto de Amorim Lima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Moacir Japearson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Externo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dos assuntos pela profª Juliene Barros.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Pontos de 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.Retomada das atividades;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.Resposta das pendências relatório 2021 e 2022;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.Cronograma para término do relatório 2023;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6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spacing w:before="132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spacing w:before="110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before="110" w:lineRule="auto"/>
              <w:ind w:left="10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before="110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Estudo dos dados do relatório de 2023.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  <w:rPr>
                <w:color w:val="000009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Discutir gráficos iniciais dos dados comparados entre os relatórios.</w:t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before="102" w:lineRule="auto"/>
              <w:ind w:left="109" w:right="9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Membros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before="102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15/02/24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spacing w:before="154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spacing w:before="12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spacing w:before="12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15/02/240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before="127" w:lineRule="auto"/>
              <w:ind w:left="1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9h-10h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Sala da CPA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spacing w:before="107" w:lineRule="auto"/>
              <w:ind w:left="94" w:firstLine="0"/>
              <w:jc w:val="both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spacing w:before="10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Estudo dos dados do relatório 2023 para início do relatório geral.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before="7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spacing w:before="113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spacing w:before="113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spacing w:before="113" w:lineRule="auto"/>
              <w:ind w:left="10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Aprovada pela Comissão em: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rFonts w:ascii="Arial" w:cs="Arial" w:eastAsia="Arial" w:hAnsi="Arial"/>
          <w:b w:val="1"/>
          <w:color w:val="ffffff"/>
        </w:rPr>
        <w:sectPr>
          <w:headerReference r:id="rId7" w:type="default"/>
          <w:pgSz w:h="16840" w:w="11920" w:orient="portrait"/>
          <w:pgMar w:bottom="280" w:top="600" w:left="800" w:right="8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420" w:left="800" w:right="8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620" w:left="1700" w:right="17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